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6B4D2" w14:textId="77777777" w:rsidR="00780FB9" w:rsidRPr="00780FB9" w:rsidRDefault="00780FB9" w:rsidP="00780FB9">
      <w:pPr>
        <w:spacing w:after="0" w:line="240" w:lineRule="auto"/>
        <w:jc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RBM MiP WG Teleconference</w:t>
      </w:r>
    </w:p>
    <w:p w14:paraId="0C639D68" w14:textId="77777777" w:rsidR="00780FB9" w:rsidRPr="00780FB9" w:rsidRDefault="00780FB9" w:rsidP="00780FB9">
      <w:pPr>
        <w:spacing w:after="0" w:line="240" w:lineRule="auto"/>
        <w:jc w:val="center"/>
        <w:rPr>
          <w:rFonts w:eastAsia="Times New Roman" w:cstheme="minorHAnsi"/>
          <w:color w:val="767676"/>
        </w:rPr>
      </w:pPr>
      <w:r w:rsidRPr="00780FB9">
        <w:rPr>
          <w:rFonts w:eastAsia="Times New Roman" w:cstheme="minorHAnsi"/>
          <w:color w:val="767676"/>
        </w:rPr>
        <w:t>Monday, September 16, 2019</w:t>
      </w:r>
    </w:p>
    <w:p w14:paraId="649A4C56" w14:textId="77777777" w:rsidR="00780FB9" w:rsidRPr="00780FB9" w:rsidRDefault="00780FB9" w:rsidP="00780FB9">
      <w:pPr>
        <w:spacing w:after="0" w:line="240" w:lineRule="auto"/>
        <w:ind w:left="540"/>
        <w:textAlignment w:val="center"/>
        <w:rPr>
          <w:rFonts w:eastAsia="Times New Roman" w:cstheme="minorHAnsi"/>
        </w:rPr>
      </w:pPr>
    </w:p>
    <w:p w14:paraId="0E6F69DE" w14:textId="0C019892" w:rsidR="00780FB9" w:rsidRPr="00855A71" w:rsidRDefault="00855A71" w:rsidP="00780FB9">
      <w:pPr>
        <w:spacing w:after="0" w:line="240" w:lineRule="auto"/>
        <w:textAlignment w:val="center"/>
        <w:rPr>
          <w:rFonts w:eastAsia="Times New Roman" w:cstheme="minorHAnsi"/>
          <w:u w:val="single"/>
        </w:rPr>
      </w:pPr>
      <w:r w:rsidRPr="00855A71">
        <w:rPr>
          <w:rFonts w:eastAsia="Times New Roman" w:cstheme="minorHAnsi"/>
          <w:b/>
          <w:u w:val="single"/>
        </w:rPr>
        <w:t xml:space="preserve">Meeting </w:t>
      </w:r>
      <w:r w:rsidR="00780FB9" w:rsidRPr="00855A71">
        <w:rPr>
          <w:rFonts w:eastAsia="Times New Roman" w:cstheme="minorHAnsi"/>
          <w:b/>
          <w:u w:val="single"/>
        </w:rPr>
        <w:t xml:space="preserve">Participants: </w:t>
      </w:r>
    </w:p>
    <w:p w14:paraId="633D2F54" w14:textId="77777777" w:rsidR="00780FB9" w:rsidRPr="00780FB9" w:rsidRDefault="00780FB9" w:rsidP="00780FB9">
      <w:pPr>
        <w:spacing w:after="0" w:line="240" w:lineRule="auto"/>
        <w:rPr>
          <w:rFonts w:cstheme="minorHAnsi"/>
        </w:rPr>
      </w:pPr>
      <w:r w:rsidRPr="00780FB9">
        <w:rPr>
          <w:rFonts w:cstheme="minorHAnsi"/>
        </w:rPr>
        <w:t>Elaine Roman, Jhpiego</w:t>
      </w:r>
    </w:p>
    <w:p w14:paraId="3D4DA6DF" w14:textId="77777777" w:rsidR="00780FB9" w:rsidRPr="00780FB9" w:rsidRDefault="00780FB9" w:rsidP="00780FB9">
      <w:pPr>
        <w:spacing w:after="0" w:line="240" w:lineRule="auto"/>
        <w:rPr>
          <w:rFonts w:cstheme="minorHAnsi"/>
        </w:rPr>
      </w:pPr>
      <w:r w:rsidRPr="00780FB9">
        <w:rPr>
          <w:rFonts w:cstheme="minorHAnsi"/>
        </w:rPr>
        <w:t>Valentina Buj, UNICEF</w:t>
      </w:r>
    </w:p>
    <w:p w14:paraId="67078E6E" w14:textId="77777777" w:rsidR="00780FB9" w:rsidRPr="00780FB9" w:rsidRDefault="00780FB9" w:rsidP="00780FB9">
      <w:pPr>
        <w:spacing w:after="0" w:line="240" w:lineRule="auto"/>
        <w:rPr>
          <w:rFonts w:cstheme="minorHAnsi"/>
        </w:rPr>
      </w:pPr>
      <w:r w:rsidRPr="00780FB9">
        <w:rPr>
          <w:rFonts w:cstheme="minorHAnsi"/>
        </w:rPr>
        <w:t>Kristen Vibbert, Jhpiego</w:t>
      </w:r>
    </w:p>
    <w:p w14:paraId="27EFEE80" w14:textId="77777777" w:rsidR="00780FB9" w:rsidRPr="00780FB9" w:rsidRDefault="00780FB9" w:rsidP="00780FB9">
      <w:pPr>
        <w:spacing w:after="0" w:line="240" w:lineRule="auto"/>
        <w:rPr>
          <w:rFonts w:cstheme="minorHAnsi"/>
        </w:rPr>
      </w:pPr>
      <w:r w:rsidRPr="00780FB9">
        <w:rPr>
          <w:rFonts w:cstheme="minorHAnsi"/>
        </w:rPr>
        <w:t>Madeleine Marasciulo-Rice, Malaria Consortium</w:t>
      </w:r>
    </w:p>
    <w:p w14:paraId="3A9D647D" w14:textId="77777777" w:rsidR="00780FB9" w:rsidRPr="00780FB9" w:rsidRDefault="00780FB9" w:rsidP="00780FB9">
      <w:pPr>
        <w:spacing w:after="0" w:line="240" w:lineRule="auto"/>
        <w:rPr>
          <w:rFonts w:cstheme="minorHAnsi"/>
        </w:rPr>
      </w:pPr>
      <w:r w:rsidRPr="00780FB9">
        <w:rPr>
          <w:rFonts w:cstheme="minorHAnsi"/>
        </w:rPr>
        <w:t>Matt Chico, Liverpool School</w:t>
      </w:r>
    </w:p>
    <w:p w14:paraId="4324EDE5" w14:textId="77777777" w:rsidR="00780FB9" w:rsidRPr="00780FB9" w:rsidRDefault="00780FB9" w:rsidP="00780FB9">
      <w:pPr>
        <w:spacing w:after="0" w:line="240" w:lineRule="auto"/>
        <w:rPr>
          <w:rFonts w:cstheme="minorHAnsi"/>
        </w:rPr>
      </w:pPr>
      <w:r w:rsidRPr="00780FB9">
        <w:rPr>
          <w:rFonts w:cstheme="minorHAnsi"/>
        </w:rPr>
        <w:t>Lisa Nichols, Abt</w:t>
      </w:r>
    </w:p>
    <w:p w14:paraId="7AC745E6" w14:textId="77777777" w:rsidR="00780FB9" w:rsidRPr="00780FB9" w:rsidRDefault="00780FB9" w:rsidP="00780FB9">
      <w:pPr>
        <w:spacing w:after="0" w:line="240" w:lineRule="auto"/>
        <w:rPr>
          <w:rFonts w:cstheme="minorHAnsi"/>
        </w:rPr>
      </w:pPr>
      <w:r w:rsidRPr="00780FB9">
        <w:rPr>
          <w:rFonts w:cstheme="minorHAnsi"/>
        </w:rPr>
        <w:t>Kate Wolf, Jhpiego/ Impact Malaria</w:t>
      </w:r>
    </w:p>
    <w:p w14:paraId="49D19558" w14:textId="77777777" w:rsidR="00780FB9" w:rsidRPr="00780FB9" w:rsidRDefault="00780FB9" w:rsidP="00780FB9">
      <w:pPr>
        <w:spacing w:after="0" w:line="240" w:lineRule="auto"/>
        <w:rPr>
          <w:rFonts w:cstheme="minorHAnsi"/>
        </w:rPr>
      </w:pPr>
      <w:r w:rsidRPr="00780FB9">
        <w:rPr>
          <w:rFonts w:cstheme="minorHAnsi"/>
        </w:rPr>
        <w:t>Lia Florey, USAID/ PMI</w:t>
      </w:r>
    </w:p>
    <w:p w14:paraId="085B3680" w14:textId="77777777" w:rsidR="00780FB9" w:rsidRPr="00780FB9" w:rsidRDefault="00780FB9" w:rsidP="00780FB9">
      <w:pPr>
        <w:spacing w:after="0" w:line="240" w:lineRule="auto"/>
        <w:rPr>
          <w:rFonts w:cstheme="minorHAnsi"/>
        </w:rPr>
      </w:pPr>
      <w:r w:rsidRPr="00780FB9">
        <w:rPr>
          <w:rFonts w:cstheme="minorHAnsi"/>
        </w:rPr>
        <w:t>Kate Wright, MSH</w:t>
      </w:r>
    </w:p>
    <w:p w14:paraId="625D8358" w14:textId="16F3F0D8" w:rsidR="00780FB9" w:rsidRPr="00780FB9" w:rsidRDefault="00780FB9" w:rsidP="00780FB9">
      <w:pPr>
        <w:spacing w:after="0" w:line="240" w:lineRule="auto"/>
        <w:rPr>
          <w:rFonts w:cstheme="minorHAnsi"/>
        </w:rPr>
      </w:pPr>
      <w:r w:rsidRPr="00780FB9">
        <w:rPr>
          <w:rFonts w:cstheme="minorHAnsi"/>
        </w:rPr>
        <w:t>Shafia Rashid, MSH</w:t>
      </w:r>
    </w:p>
    <w:p w14:paraId="3884A947" w14:textId="4A4503A2" w:rsidR="00780FB9" w:rsidRDefault="00780FB9" w:rsidP="00780FB9">
      <w:pPr>
        <w:spacing w:after="0" w:line="240" w:lineRule="auto"/>
        <w:rPr>
          <w:rFonts w:cstheme="minorHAnsi"/>
        </w:rPr>
      </w:pPr>
      <w:r w:rsidRPr="00780FB9">
        <w:rPr>
          <w:rFonts w:cstheme="minorHAnsi"/>
        </w:rPr>
        <w:t>Lee Pyne-Mercier, Gates Foundation</w:t>
      </w:r>
    </w:p>
    <w:p w14:paraId="54A94507" w14:textId="464584C6" w:rsidR="005660AB" w:rsidRPr="00780FB9" w:rsidRDefault="005660AB" w:rsidP="00780FB9">
      <w:pPr>
        <w:spacing w:after="0" w:line="240" w:lineRule="auto"/>
        <w:rPr>
          <w:rFonts w:cstheme="minorHAnsi"/>
        </w:rPr>
      </w:pPr>
      <w:r>
        <w:rPr>
          <w:rFonts w:cstheme="minorHAnsi"/>
        </w:rPr>
        <w:t>Jenny Hill, Liverpool School of Tropical Medicine</w:t>
      </w:r>
      <w:bookmarkStart w:id="0" w:name="_GoBack"/>
      <w:bookmarkEnd w:id="0"/>
    </w:p>
    <w:p w14:paraId="545EC842" w14:textId="77777777" w:rsidR="00780FB9" w:rsidRPr="00780FB9" w:rsidRDefault="00780FB9" w:rsidP="00780FB9">
      <w:pPr>
        <w:spacing w:after="0" w:line="240" w:lineRule="auto"/>
        <w:textAlignment w:val="center"/>
        <w:rPr>
          <w:rFonts w:eastAsia="Times New Roman" w:cstheme="minorHAnsi"/>
        </w:rPr>
      </w:pPr>
    </w:p>
    <w:p w14:paraId="5335600C" w14:textId="77777777" w:rsidR="00780FB9" w:rsidRPr="00780FB9" w:rsidRDefault="00780FB9" w:rsidP="00780FB9">
      <w:pPr>
        <w:spacing w:after="0" w:line="240" w:lineRule="auto"/>
        <w:ind w:left="540"/>
        <w:textAlignment w:val="center"/>
        <w:rPr>
          <w:rFonts w:eastAsia="Times New Roman" w:cstheme="minorHAnsi"/>
        </w:rPr>
      </w:pPr>
    </w:p>
    <w:p w14:paraId="41B27E8E" w14:textId="77777777" w:rsidR="00780FB9" w:rsidRPr="00855A71" w:rsidRDefault="00780FB9" w:rsidP="00780FB9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 w:cstheme="minorHAnsi"/>
          <w:b/>
        </w:rPr>
      </w:pPr>
      <w:r w:rsidRPr="00855A71">
        <w:rPr>
          <w:rFonts w:eastAsia="Times New Roman" w:cstheme="minorHAnsi"/>
          <w:b/>
        </w:rPr>
        <w:t xml:space="preserve">Update on Call to Action </w:t>
      </w:r>
    </w:p>
    <w:p w14:paraId="77ADF163" w14:textId="77777777" w:rsidR="00780FB9" w:rsidRPr="00780FB9" w:rsidRDefault="00780FB9" w:rsidP="00690C67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 xml:space="preserve">2015: RBM  MiP WG developed Call to Action with WHO &amp; other partners to highlight importance on moving needle on IPTp in context of antenatal support </w:t>
      </w:r>
    </w:p>
    <w:p w14:paraId="67126111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Included advocacy documents, events around WMD when Call was launched</w:t>
      </w:r>
    </w:p>
    <w:p w14:paraId="4722BDFD" w14:textId="3B493CB4" w:rsidR="00780FB9" w:rsidRPr="00780FB9" w:rsidRDefault="001E28BF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MMV</w:t>
      </w:r>
      <w:r w:rsidR="00780FB9" w:rsidRPr="00780FB9">
        <w:rPr>
          <w:rFonts w:eastAsia="Times New Roman" w:cstheme="minorHAnsi"/>
        </w:rPr>
        <w:t xml:space="preserve"> reminded us that we're coming up on 5 year anniversary in 2020 - opportune time to reflect on progress made &amp; what still needs to be done</w:t>
      </w:r>
    </w:p>
    <w:p w14:paraId="1ADF7392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Committee in working group has been talking about revamping Call to Action, including published articles, new advocacy documents, dissemination of new tools</w:t>
      </w:r>
    </w:p>
    <w:p w14:paraId="096167A8" w14:textId="77777777" w:rsidR="00780FB9" w:rsidRPr="00780FB9" w:rsidRDefault="00780FB9" w:rsidP="00780FB9">
      <w:pPr>
        <w:spacing w:after="0" w:line="240" w:lineRule="auto"/>
        <w:ind w:left="1440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 xml:space="preserve">(mid-December) </w:t>
      </w:r>
    </w:p>
    <w:p w14:paraId="78D253AC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MiP video is moving forward, supported by PMI through IM project, expected to be ready by World Malaria Day in April</w:t>
      </w:r>
    </w:p>
    <w:p w14:paraId="37E0DDCD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Will target non-technical audience, focused on MiP but not specifically IPTP</w:t>
      </w:r>
    </w:p>
    <w:p w14:paraId="48A9E61A" w14:textId="3446DCC6" w:rsid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Elaine to send concept note and talking points for Round Table discussion</w:t>
      </w:r>
    </w:p>
    <w:p w14:paraId="1D907990" w14:textId="77777777" w:rsidR="00855A71" w:rsidRDefault="00855A71" w:rsidP="00855A71">
      <w:pPr>
        <w:spacing w:after="0" w:line="240" w:lineRule="auto"/>
        <w:ind w:left="1440"/>
        <w:textAlignment w:val="center"/>
        <w:rPr>
          <w:rFonts w:eastAsia="Times New Roman" w:cstheme="minorHAnsi"/>
        </w:rPr>
      </w:pPr>
    </w:p>
    <w:p w14:paraId="44BC7FD2" w14:textId="4A9456CA" w:rsidR="001E28BF" w:rsidRDefault="001E28BF" w:rsidP="001E28BF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855A71">
        <w:rPr>
          <w:rFonts w:eastAsia="Times New Roman" w:cstheme="minorHAnsi"/>
          <w:b/>
        </w:rPr>
        <w:t>UNGA-</w:t>
      </w:r>
      <w:r>
        <w:rPr>
          <w:rFonts w:eastAsia="Times New Roman" w:cstheme="minorHAnsi"/>
        </w:rPr>
        <w:t xml:space="preserve"> Valentina highlighted an event taking place at UNGA focusing on malaria, maternal child health and gender.  Elaine and Maurice have been engaged in supporting the development of the event themes</w:t>
      </w:r>
      <w:r w:rsidR="00DB3037">
        <w:rPr>
          <w:rFonts w:eastAsia="Times New Roman" w:cstheme="minorHAnsi"/>
        </w:rPr>
        <w:t xml:space="preserve"> and talking points as well as sharing key documents</w:t>
      </w:r>
      <w:r>
        <w:rPr>
          <w:rFonts w:eastAsia="Times New Roman" w:cstheme="minorHAnsi"/>
        </w:rPr>
        <w:t xml:space="preserve"> </w:t>
      </w:r>
    </w:p>
    <w:p w14:paraId="37D2562E" w14:textId="77777777" w:rsidR="00855A71" w:rsidRPr="00780FB9" w:rsidRDefault="00855A71" w:rsidP="00855A71">
      <w:pPr>
        <w:spacing w:after="0" w:line="240" w:lineRule="auto"/>
        <w:ind w:left="720"/>
        <w:textAlignment w:val="center"/>
        <w:rPr>
          <w:rFonts w:eastAsia="Times New Roman" w:cstheme="minorHAnsi"/>
        </w:rPr>
      </w:pPr>
    </w:p>
    <w:p w14:paraId="38ED4B1D" w14:textId="77777777" w:rsidR="00780FB9" w:rsidRPr="00855A71" w:rsidRDefault="00780FB9" w:rsidP="00780FB9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 w:cstheme="minorHAnsi"/>
          <w:b/>
        </w:rPr>
      </w:pPr>
      <w:r w:rsidRPr="00855A71">
        <w:rPr>
          <w:rFonts w:eastAsia="Times New Roman" w:cstheme="minorHAnsi"/>
          <w:b/>
        </w:rPr>
        <w:t>ASTMH</w:t>
      </w:r>
    </w:p>
    <w:p w14:paraId="02675EF2" w14:textId="0BE75884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We are planning a WG meeting at ASTMH conference from 2:30-4:30pm on November 20</w:t>
      </w:r>
      <w:r w:rsidRPr="00855A71">
        <w:rPr>
          <w:rFonts w:eastAsia="Times New Roman" w:cstheme="minorHAnsi"/>
          <w:vertAlign w:val="superscript"/>
        </w:rPr>
        <w:t>th</w:t>
      </w:r>
      <w:r w:rsidR="00855A71">
        <w:rPr>
          <w:rFonts w:eastAsia="Times New Roman" w:cstheme="minorHAnsi"/>
        </w:rPr>
        <w:t>, prior to the plenary</w:t>
      </w:r>
    </w:p>
    <w:p w14:paraId="52B2215C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1st day of meeting - more time than breakfast meetings in the past</w:t>
      </w:r>
    </w:p>
    <w:p w14:paraId="16B6B027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Agenda will go out sometime this week: update on Call to Action, workplan activities, learning lab with facilitated open discussion, round tables on specific topics, update on planning for annual meeting</w:t>
      </w:r>
    </w:p>
    <w:p w14:paraId="79907798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We try to highlight any sessions (symposia, posters, oral presentations ) that relate to MiP at ASTMH</w:t>
      </w:r>
    </w:p>
    <w:p w14:paraId="177155FC" w14:textId="77777777" w:rsidR="00855A71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Partners encouraged to share any relevant events with Kristen</w:t>
      </w:r>
    </w:p>
    <w:p w14:paraId="36490199" w14:textId="453B8530" w:rsidR="00780FB9" w:rsidRPr="00780FB9" w:rsidRDefault="00780FB9" w:rsidP="00855A71">
      <w:pPr>
        <w:spacing w:after="0" w:line="240" w:lineRule="auto"/>
        <w:ind w:left="2160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 xml:space="preserve"> </w:t>
      </w:r>
    </w:p>
    <w:p w14:paraId="29CF1C55" w14:textId="77777777" w:rsidR="00780FB9" w:rsidRPr="00855A71" w:rsidRDefault="00780FB9" w:rsidP="00780FB9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 w:cstheme="minorHAnsi"/>
          <w:b/>
        </w:rPr>
      </w:pPr>
      <w:r w:rsidRPr="00855A71">
        <w:rPr>
          <w:rFonts w:eastAsia="Times New Roman" w:cstheme="minorHAnsi"/>
          <w:b/>
        </w:rPr>
        <w:t>Special Presentation from MSH</w:t>
      </w:r>
    </w:p>
    <w:p w14:paraId="097EA2E1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Shafia Rashid - The Power of Pregnancy Clubs - New Research on Group ANC</w:t>
      </w:r>
    </w:p>
    <w:p w14:paraId="5A3B357A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Tested feasibility &amp; acceptability of Group ANC - women reported improved experience of care, efficacy, self-empowerment, social support from others in the group</w:t>
      </w:r>
    </w:p>
    <w:p w14:paraId="2C7F7BD0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Providers saw quality in providing care, but struggled to integrate the groups into routine care</w:t>
      </w:r>
    </w:p>
    <w:p w14:paraId="31BDA305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Why Group ANC? Emerging as promising alternative to address gaps in ANC; new model is aligned to recommendations that address clinical care and respond to what women want from pregnancy experience</w:t>
      </w:r>
    </w:p>
    <w:p w14:paraId="5323C318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lastRenderedPageBreak/>
        <w:t>Published studies show correlation between group care &amp; birth preparedness, improved provider experience, social support from group</w:t>
      </w:r>
    </w:p>
    <w:p w14:paraId="1E00461D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 xml:space="preserve">Approach began in Uganda in 2016, then Kenya in 2017, Guatemala 2019 </w:t>
      </w:r>
    </w:p>
    <w:p w14:paraId="0B8E8A93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Uganda: Used HCD to incorporate perspectives, rolled out model in public sector, implementation research to understand what/why/how in  that contexts</w:t>
      </w:r>
    </w:p>
    <w:p w14:paraId="7666DA2D" w14:textId="77777777" w:rsidR="00780FB9" w:rsidRPr="00780FB9" w:rsidRDefault="00780FB9" w:rsidP="00780FB9">
      <w:pPr>
        <w:numPr>
          <w:ilvl w:val="3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Feasibility study - 22 groups were established across 6 sites</w:t>
      </w:r>
    </w:p>
    <w:p w14:paraId="62CCFA10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Kenya: expanded to more rigorous &amp; expanded research with National Nurse association &amp; county government to do a pilot study in Kakamega county</w:t>
      </w:r>
    </w:p>
    <w:p w14:paraId="6CA2329E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GT: small pilot &amp; scale-up project</w:t>
      </w:r>
    </w:p>
    <w:p w14:paraId="257CCC70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 xml:space="preserve">Changes happened over time from Uganda to Kenya context </w:t>
      </w:r>
    </w:p>
    <w:p w14:paraId="3FBBB409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 xml:space="preserve">Opening &amp; closing ritual - mat of local materials with a prayer &amp; song </w:t>
      </w:r>
    </w:p>
    <w:p w14:paraId="1EF6A4D3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Provider uses images to encourage discussion, share information about maintaining healthy pregnancy</w:t>
      </w:r>
    </w:p>
    <w:p w14:paraId="771DE72D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Women are paired with a partner for accountability for next meeting</w:t>
      </w:r>
    </w:p>
    <w:p w14:paraId="513A8FD9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Facilitation materials include calendar booklets, ANC mat, accordion scrolls with pictures</w:t>
      </w:r>
    </w:p>
    <w:p w14:paraId="4EAD6441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Different research methods in UG &amp; KE</w:t>
      </w:r>
    </w:p>
    <w:p w14:paraId="6CEBE515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 xml:space="preserve">6 facilities each - Both had interviews </w:t>
      </w:r>
    </w:p>
    <w:p w14:paraId="30C03DCE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Uganda for 5 months: qualitative research</w:t>
      </w:r>
    </w:p>
    <w:p w14:paraId="5A0FE652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Kenya  for 1 year: followed retention, more than 1600 women enrolled but analyzed data for 1090 that would've delivered by end of study</w:t>
      </w:r>
    </w:p>
    <w:p w14:paraId="2F03B381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WHO Framework for MNH quality of care - focused on elements related to experience of care &amp; coverage of key practices</w:t>
      </w:r>
    </w:p>
    <w:p w14:paraId="3C0A1BED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Kenya:  qualitative data analyzed for key themes: dignity, improved quality of care from provider, more accepting</w:t>
      </w:r>
    </w:p>
    <w:p w14:paraId="6ADE388C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Uganda: Qualitative data showed enhanced learning, even from older parents who had previously had children, lively &amp; engaging sessions, recalled nutrition, birth preparedness, &amp; early danger signs</w:t>
      </w:r>
    </w:p>
    <w:p w14:paraId="6A2C50D0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Also fostered bonds between mothers &amp; health care providers, eased stress</w:t>
      </w:r>
    </w:p>
    <w:p w14:paraId="41252270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Retention: natural drop-off over course of 8 visits</w:t>
      </w:r>
    </w:p>
    <w:p w14:paraId="48A70B96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Challenges to group visits could be forgetting time, family conflicts with scheduling</w:t>
      </w:r>
    </w:p>
    <w:p w14:paraId="4B745EB8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 xml:space="preserve">Group ANC increased averaging amount of time providers spent per women, more counselling times and more waiting time. </w:t>
      </w:r>
    </w:p>
    <w:p w14:paraId="4A62A1E5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Wait times vary, but some women arrived very early &amp; others came late</w:t>
      </w:r>
    </w:p>
    <w:p w14:paraId="44E99AFE" w14:textId="77777777" w:rsidR="00780FB9" w:rsidRPr="00780FB9" w:rsidRDefault="00780FB9" w:rsidP="00780FB9">
      <w:pPr>
        <w:numPr>
          <w:ilvl w:val="3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Provider-related: in some sessions, a provider might be dealing with an emergency and/or only 1 provider on duty caused a delay</w:t>
      </w:r>
    </w:p>
    <w:p w14:paraId="50EBE315" w14:textId="77777777" w:rsidR="00780FB9" w:rsidRPr="00780FB9" w:rsidRDefault="00780FB9" w:rsidP="00780FB9">
      <w:pPr>
        <w:numPr>
          <w:ilvl w:val="3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Sometimes women had to queue again after the group sessions for their individual visits</w:t>
      </w:r>
    </w:p>
    <w:p w14:paraId="04736A2F" w14:textId="77777777" w:rsidR="00780FB9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Pathways to scale: even with improved experience of care, some still prefer tradition care - unclear reasoning</w:t>
      </w:r>
    </w:p>
    <w:p w14:paraId="5ABD4079" w14:textId="77777777" w:rsidR="00780FB9" w:rsidRPr="00780FB9" w:rsidRDefault="00780FB9" w:rsidP="00780FB9">
      <w:pPr>
        <w:numPr>
          <w:ilvl w:val="2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We know Group ANC has positive benefits, but some barriers couldn't be addressed (geographic distance, cost, etc) that led to missed appointments</w:t>
      </w:r>
    </w:p>
    <w:p w14:paraId="3B47A7D0" w14:textId="1A0299FD" w:rsidR="00855A71" w:rsidRPr="00855A71" w:rsidRDefault="00855A71" w:rsidP="00855A71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Presentation slides, </w:t>
      </w:r>
      <w:r w:rsidR="00780FB9" w:rsidRPr="00780FB9">
        <w:rPr>
          <w:rFonts w:eastAsia="Times New Roman" w:cstheme="minorHAnsi"/>
        </w:rPr>
        <w:t>plus resources from Kenya research</w:t>
      </w:r>
      <w:r>
        <w:rPr>
          <w:rFonts w:eastAsia="Times New Roman" w:cstheme="minorHAnsi"/>
        </w:rPr>
        <w:t xml:space="preserve">, available at the following link: </w:t>
      </w:r>
      <w:hyperlink r:id="rId8" w:history="1">
        <w:r w:rsidRPr="001F2005">
          <w:rPr>
            <w:rStyle w:val="Hyperlink"/>
            <w:rFonts w:eastAsia="Times New Roman" w:cstheme="minorHAnsi"/>
          </w:rPr>
          <w:t>https://www.msh.org/resources/webinar-slidedeck-the-power-of-pregnancy-clubs-new-research-on-group-antenatal-care</w:t>
        </w:r>
      </w:hyperlink>
    </w:p>
    <w:p w14:paraId="7BD4ACCD" w14:textId="77777777" w:rsidR="00855A71" w:rsidRPr="00780FB9" w:rsidRDefault="00855A71" w:rsidP="00855A71">
      <w:pPr>
        <w:spacing w:after="0" w:line="240" w:lineRule="auto"/>
        <w:ind w:left="1440"/>
        <w:textAlignment w:val="center"/>
        <w:rPr>
          <w:rFonts w:eastAsia="Times New Roman" w:cstheme="minorHAnsi"/>
        </w:rPr>
      </w:pPr>
    </w:p>
    <w:p w14:paraId="4900EAB1" w14:textId="77777777" w:rsidR="00780FB9" w:rsidRPr="00780FB9" w:rsidRDefault="00780FB9" w:rsidP="00780FB9">
      <w:pPr>
        <w:numPr>
          <w:ilvl w:val="0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 xml:space="preserve">Partner updates: </w:t>
      </w:r>
    </w:p>
    <w:p w14:paraId="43385627" w14:textId="77777777" w:rsidR="009E6C0D" w:rsidRPr="00780FB9" w:rsidRDefault="00780FB9" w:rsidP="00780FB9">
      <w:pPr>
        <w:numPr>
          <w:ilvl w:val="1"/>
          <w:numId w:val="17"/>
        </w:numPr>
        <w:spacing w:after="0" w:line="240" w:lineRule="auto"/>
        <w:textAlignment w:val="center"/>
        <w:rPr>
          <w:rFonts w:eastAsia="Times New Roman" w:cstheme="minorHAnsi"/>
        </w:rPr>
      </w:pPr>
      <w:r w:rsidRPr="00780FB9">
        <w:rPr>
          <w:rFonts w:eastAsia="Times New Roman" w:cstheme="minorHAnsi"/>
        </w:rPr>
        <w:t>None</w:t>
      </w:r>
    </w:p>
    <w:sectPr w:rsidR="009E6C0D" w:rsidRPr="00780FB9" w:rsidSect="00890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F27"/>
    <w:multiLevelType w:val="multilevel"/>
    <w:tmpl w:val="651A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E4DCD"/>
    <w:multiLevelType w:val="multilevel"/>
    <w:tmpl w:val="12A6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40DB5"/>
    <w:multiLevelType w:val="multilevel"/>
    <w:tmpl w:val="0F0A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161E6"/>
    <w:multiLevelType w:val="multilevel"/>
    <w:tmpl w:val="DB2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8E4053"/>
    <w:multiLevelType w:val="multilevel"/>
    <w:tmpl w:val="F64A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17AAF"/>
    <w:multiLevelType w:val="hybridMultilevel"/>
    <w:tmpl w:val="A628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  <w:lvlOverride w:ilvl="0">
      <w:startOverride w:val="2"/>
    </w:lvlOverride>
  </w:num>
  <w:num w:numId="4">
    <w:abstractNumId w:val="1"/>
  </w:num>
  <w:num w:numId="5">
    <w:abstractNumId w:val="2"/>
    <w:lvlOverride w:ilvl="0">
      <w:startOverride w:val="3"/>
    </w:lvlOverride>
  </w:num>
  <w:num w:numId="6">
    <w:abstractNumId w:val="2"/>
    <w:lvlOverride w:ilvl="0"/>
    <w:lvlOverride w:ilvl="1">
      <w:startOverride w:val="1"/>
    </w:lvlOverride>
  </w:num>
  <w:num w:numId="7">
    <w:abstractNumId w:val="2"/>
    <w:lvlOverride w:ilvl="0"/>
    <w:lvlOverride w:ilvl="1"/>
    <w:lvlOverride w:ilvl="2">
      <w:startOverride w:val="1"/>
    </w:lvlOverride>
  </w:num>
  <w:num w:numId="8">
    <w:abstractNumId w:val="2"/>
    <w:lvlOverride w:ilvl="0"/>
    <w:lvlOverride w:ilvl="1"/>
    <w:lvlOverride w:ilvl="2"/>
    <w:lvlOverride w:ilvl="3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/>
  </w:num>
  <w:num w:numId="10">
    <w:abstractNumId w:val="2"/>
    <w:lvlOverride w:ilvl="0"/>
    <w:lvlOverride w:ilvl="1"/>
    <w:lvlOverride w:ilvl="2">
      <w:startOverride w:val="1"/>
    </w:lvlOverride>
    <w:lvlOverride w:ilvl="3"/>
  </w:num>
  <w:num w:numId="11">
    <w:abstractNumId w:val="2"/>
    <w:lvlOverride w:ilvl="0"/>
    <w:lvlOverride w:ilvl="1"/>
    <w:lvlOverride w:ilvl="2">
      <w:startOverride w:val="1"/>
    </w:lvlOverride>
    <w:lvlOverride w:ilvl="3"/>
  </w:num>
  <w:num w:numId="12">
    <w:abstractNumId w:val="2"/>
    <w:lvlOverride w:ilvl="0"/>
    <w:lvlOverride w:ilvl="1"/>
    <w:lvlOverride w:ilvl="2">
      <w:startOverride w:val="1"/>
    </w:lvlOverride>
    <w:lvlOverride w:ilvl="3"/>
  </w:num>
  <w:num w:numId="13">
    <w:abstractNumId w:val="2"/>
    <w:lvlOverride w:ilvl="0"/>
    <w:lvlOverride w:ilvl="1"/>
    <w:lvlOverride w:ilvl="2">
      <w:startOverride w:val="1"/>
    </w:lvlOverride>
    <w:lvlOverride w:ilvl="3"/>
  </w:num>
  <w:num w:numId="14">
    <w:abstractNumId w:val="2"/>
    <w:lvlOverride w:ilvl="0"/>
    <w:lvlOverride w:ilvl="1"/>
    <w:lvlOverride w:ilvl="2">
      <w:startOverride w:val="1"/>
    </w:lvlOverride>
    <w:lvlOverride w:ilvl="3"/>
  </w:num>
  <w:num w:numId="15">
    <w:abstractNumId w:val="2"/>
    <w:lvlOverride w:ilvl="0"/>
    <w:lvlOverride w:ilvl="1"/>
    <w:lvlOverride w:ilvl="2"/>
    <w:lvlOverride w:ilvl="3">
      <w:startOverride w:val="1"/>
    </w:lvlOverride>
  </w:num>
  <w:num w:numId="16">
    <w:abstractNumId w:val="2"/>
    <w:lvlOverride w:ilvl="0"/>
    <w:lvlOverride w:ilvl="1">
      <w:startOverride w:val="1"/>
    </w:lvlOverride>
    <w:lvlOverride w:ilvl="2"/>
    <w:lvlOverride w:ilv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B9"/>
    <w:rsid w:val="001E28BF"/>
    <w:rsid w:val="005660AB"/>
    <w:rsid w:val="006D5017"/>
    <w:rsid w:val="00780FB9"/>
    <w:rsid w:val="00855A71"/>
    <w:rsid w:val="00890A73"/>
    <w:rsid w:val="009E6C0D"/>
    <w:rsid w:val="00DB303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05D1"/>
  <w15:chartTrackingRefBased/>
  <w15:docId w15:val="{24DD06EF-0B7F-4968-9840-5F50F9A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B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h.org/resources/webinar-slidedeck-the-power-of-pregnancy-clubs-new-research-on-group-antenatal-c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D538E189EF48B4ED4540230CC912" ma:contentTypeVersion="10" ma:contentTypeDescription="Create a new document." ma:contentTypeScope="" ma:versionID="218508f0595a0849791a91be221fdd80">
  <xsd:schema xmlns:xsd="http://www.w3.org/2001/XMLSchema" xmlns:xs="http://www.w3.org/2001/XMLSchema" xmlns:p="http://schemas.microsoft.com/office/2006/metadata/properties" xmlns:ns3="a727d5f1-50d5-4e70-92e1-7a84c16401fb" targetNamespace="http://schemas.microsoft.com/office/2006/metadata/properties" ma:root="true" ma:fieldsID="1340e7686ff0134eeb62d9514133f88e" ns3:_="">
    <xsd:import namespace="a727d5f1-50d5-4e70-92e1-7a84c1640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5f1-50d5-4e70-92e1-7a84c164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584CD-D7DC-430C-B64F-E28CD77FD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5D7F5-2828-4C92-BCA5-E0BC7AA80416}">
  <ds:schemaRefs>
    <ds:schemaRef ds:uri="http://purl.org/dc/terms/"/>
    <ds:schemaRef ds:uri="a727d5f1-50d5-4e70-92e1-7a84c16401fb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1C4754-D803-45BD-A696-3B7E8E1C7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5f1-50d5-4e70-92e1-7a84c164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Cox</dc:creator>
  <cp:keywords/>
  <dc:description/>
  <cp:lastModifiedBy>Kristen Vibbert</cp:lastModifiedBy>
  <cp:revision>4</cp:revision>
  <dcterms:created xsi:type="dcterms:W3CDTF">2019-09-17T16:36:00Z</dcterms:created>
  <dcterms:modified xsi:type="dcterms:W3CDTF">2019-09-19T14:57:00Z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0x0101008AB6D538E189EF48B4ED4540230CC912</vt:lpwstr>
  </property>
</Properties>
</file>